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246"/>
        <w:ind w:left="0" w:right="0"/>
      </w:pPr>
    </w:p>
    <w:p>
      <w:pPr>
        <w:autoSpaceDN w:val="0"/>
        <w:autoSpaceDE w:val="0"/>
        <w:widowControl/>
        <w:spacing w:line="606" w:lineRule="exact" w:before="0" w:after="0"/>
        <w:ind w:left="20" w:right="0" w:firstLine="0"/>
        <w:jc w:val="left"/>
      </w:pPr>
      <w:r>
        <w:rPr>
          <w:rFonts w:ascii="Helvetica" w:hAnsi="Helvetica" w:eastAsia="Helvetica"/>
          <w:b/>
          <w:i w:val="0"/>
          <w:color w:val="14334F"/>
          <w:sz w:val="44"/>
        </w:rPr>
        <w:t>TEXT LAYER CONTROL</w:t>
      </w:r>
    </w:p>
    <w:p>
      <w:pPr>
        <w:autoSpaceDN w:val="0"/>
        <w:autoSpaceDE w:val="0"/>
        <w:widowControl/>
        <w:spacing w:line="358" w:lineRule="exact" w:before="224" w:after="0"/>
        <w:ind w:left="20" w:right="0" w:firstLine="0"/>
        <w:jc w:val="left"/>
      </w:pPr>
      <w:r>
        <w:rPr>
          <w:rFonts w:ascii="Helvetica" w:hAnsi="Helvetica" w:eastAsia="Helvetica"/>
          <w:b w:val="0"/>
          <w:i w:val="0"/>
          <w:color w:val="405C73"/>
          <w:sz w:val="26"/>
        </w:rPr>
        <w:t>Searchable source PDF</w:t>
      </w:r>
    </w:p>
    <w:p>
      <w:pPr>
        <w:autoSpaceDN w:val="0"/>
        <w:autoSpaceDE w:val="0"/>
        <w:widowControl/>
        <w:spacing w:line="302" w:lineRule="exact" w:before="846" w:after="0"/>
        <w:ind w:left="20" w:right="0" w:firstLine="0"/>
        <w:jc w:val="left"/>
      </w:pPr>
      <w:r>
        <w:rPr>
          <w:rFonts w:ascii="Helvetica" w:hAnsi="Helvetica" w:eastAsia="Helvetica"/>
          <w:b w:val="0"/>
          <w:i w:val="0"/>
          <w:color w:val="1F2E40"/>
          <w:sz w:val="22"/>
        </w:rPr>
        <w:t>Sentinel phrase: cobalt river 4729.</w:t>
      </w:r>
    </w:p>
    <w:p>
      <w:pPr>
        <w:autoSpaceDN w:val="0"/>
        <w:autoSpaceDE w:val="0"/>
        <w:widowControl/>
        <w:spacing w:line="302" w:lineRule="exact" w:before="38" w:after="0"/>
        <w:ind w:left="20" w:right="0" w:firstLine="0"/>
        <w:jc w:val="left"/>
      </w:pPr>
      <w:r>
        <w:rPr>
          <w:rFonts w:ascii="Helvetica" w:hAnsi="Helvetica" w:eastAsia="Helvetica"/>
          <w:b w:val="0"/>
          <w:i w:val="0"/>
          <w:color w:val="1F2E40"/>
          <w:sz w:val="22"/>
        </w:rPr>
        <w:t>This sentence is stored as characters in the source PDF.</w:t>
      </w:r>
    </w:p>
    <w:p>
      <w:pPr>
        <w:autoSpaceDN w:val="0"/>
        <w:autoSpaceDE w:val="0"/>
        <w:widowControl/>
        <w:spacing w:line="340" w:lineRule="exact" w:before="2" w:after="2492"/>
        <w:ind w:left="20" w:right="3456" w:firstLine="0"/>
        <w:jc w:val="left"/>
      </w:pPr>
      <w:r>
        <w:rPr>
          <w:rFonts w:ascii="Helvetica" w:hAnsi="Helvetica" w:eastAsia="Helvetica"/>
          <w:b w:val="0"/>
          <w:i w:val="0"/>
          <w:color w:val="1F2E40"/>
          <w:sz w:val="22"/>
        </w:rPr>
        <w:t xml:space="preserve">A converter can inspect those characters without optical recognition. </w:t>
      </w:r>
      <w:r>
        <w:rPr>
          <w:rFonts w:ascii="Helvetica" w:hAnsi="Helvetica" w:eastAsia="Helvetica"/>
          <w:b w:val="0"/>
          <w:i w:val="0"/>
          <w:color w:val="1F2E40"/>
          <w:sz w:val="22"/>
        </w:rPr>
        <w:t>Names: Aster Vale, Rowan Quill. Total: 184.75 USD.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.0" w:type="dxa"/>
      </w:tblPr>
      <w:tblGrid>
        <w:gridCol w:w="3380"/>
        <w:gridCol w:w="3380"/>
        <w:gridCol w:w="3380"/>
      </w:tblGrid>
      <w:tr>
        <w:trPr>
          <w:trHeight w:hRule="exact" w:val="1000"/>
        </w:trPr>
        <w:tc>
          <w:tcPr>
            <w:tcW w:type="dxa" w:w="3920"/>
            <w:tcBorders>
              <w:start w:sz="16.0" w:val="single" w:color="#26597A"/>
              <w:top w:sz="16.0" w:val="single" w:color="#26597A"/>
              <w:end w:sz="6.400000095367432" w:val="single" w:color="#8C9EAD"/>
              <w:bottom w:sz="6.400000095367432" w:val="single" w:color="#8C9EAD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330" w:lineRule="exact" w:before="364" w:after="0"/>
              <w:ind w:left="340" w:right="0" w:firstLine="0"/>
              <w:jc w:val="left"/>
            </w:pPr>
            <w:r>
              <w:rPr>
                <w:rFonts w:ascii="Helvetica" w:hAnsi="Helvetica" w:eastAsia="Helvetica"/>
                <w:b/>
                <w:i w:val="0"/>
                <w:color w:val="000000"/>
                <w:sz w:val="24"/>
              </w:rPr>
              <w:t>CONTROL TABLE</w:t>
            </w:r>
          </w:p>
        </w:tc>
        <w:tc>
          <w:tcPr>
            <w:tcW w:type="dxa" w:w="3200"/>
            <w:tcBorders>
              <w:start w:sz="6.400000095367432" w:val="single" w:color="#8C9EAD"/>
              <w:top w:sz="16.0" w:val="single" w:color="#26597A"/>
              <w:end w:sz="6.400000095367432" w:val="single" w:color="#8C9EAD"/>
              <w:bottom w:sz="6.400000095367432" w:val="single" w:color="#8C9EAD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960"/>
            <w:tcBorders>
              <w:start w:sz="6.400000095367432" w:val="single" w:color="#8C9EAD"/>
              <w:top w:sz="16.0" w:val="single" w:color="#26597A"/>
              <w:end w:sz="16.0" w:val="single" w:color="#26597A"/>
              <w:bottom w:sz="6.400000095367432" w:val="single" w:color="#8C9EAD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800"/>
        </w:trPr>
        <w:tc>
          <w:tcPr>
            <w:tcW w:type="dxa" w:w="3920"/>
            <w:tcBorders>
              <w:start w:sz="16.0" w:val="single" w:color="#26597A"/>
              <w:top w:sz="6.400000095367432" w:val="single" w:color="#8C9EAD"/>
              <w:end w:sz="6.400000095367432" w:val="single" w:color="#8C9EAD"/>
              <w:bottom w:sz="6.400000095367432" w:val="single" w:color="#8C9EAD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8" w:lineRule="exact" w:before="228" w:after="0"/>
              <w:ind w:left="340" w:right="2592" w:firstLine="0"/>
              <w:jc w:val="left"/>
            </w:pPr>
            <w:r>
              <w:rPr>
                <w:rFonts w:ascii="Helvetica" w:hAnsi="Helvetica" w:eastAsia="Helvetica"/>
                <w:b w:val="0"/>
                <w:i w:val="0"/>
                <w:color w:val="1F2E40"/>
                <w:sz w:val="18"/>
              </w:rPr>
              <w:t xml:space="preserve">Item Alpha </w:t>
            </w:r>
            <w:r>
              <w:br/>
            </w:r>
            <w:r>
              <w:rPr>
                <w:rFonts w:ascii="Helvetica" w:hAnsi="Helvetica" w:eastAsia="Helvetica"/>
                <w:b w:val="0"/>
                <w:i w:val="0"/>
                <w:color w:val="1F2E40"/>
                <w:sz w:val="18"/>
              </w:rPr>
              <w:t>Item Beta</w:t>
            </w:r>
          </w:p>
        </w:tc>
        <w:tc>
          <w:tcPr>
            <w:tcW w:type="dxa" w:w="3200"/>
            <w:tcBorders>
              <w:start w:sz="6.400000095367432" w:val="single" w:color="#8C9EAD"/>
              <w:top w:sz="6.400000095367432" w:val="single" w:color="#8C9EAD"/>
              <w:end w:sz="6.400000095367432" w:val="single" w:color="#8C9EAD"/>
              <w:bottom w:sz="6.400000095367432" w:val="single" w:color="#8C9EAD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8" w:lineRule="exact" w:before="228" w:after="0"/>
              <w:ind w:left="432" w:right="2016" w:firstLine="0"/>
              <w:jc w:val="left"/>
            </w:pPr>
            <w:r>
              <w:rPr>
                <w:rFonts w:ascii="Helvetica" w:hAnsi="Helvetica" w:eastAsia="Helvetica"/>
                <w:b w:val="0"/>
                <w:i w:val="0"/>
                <w:color w:val="1F2E40"/>
                <w:sz w:val="18"/>
              </w:rPr>
              <w:t xml:space="preserve">16 units </w:t>
            </w:r>
            <w:r>
              <w:br/>
            </w:r>
            <w:r>
              <w:rPr>
                <w:rFonts w:ascii="Helvetica" w:hAnsi="Helvetica" w:eastAsia="Helvetica"/>
                <w:b w:val="0"/>
                <w:i w:val="0"/>
                <w:color w:val="1F2E40"/>
                <w:sz w:val="18"/>
              </w:rPr>
              <w:t>23 units</w:t>
            </w:r>
          </w:p>
        </w:tc>
        <w:tc>
          <w:tcPr>
            <w:tcW w:type="dxa" w:w="2960"/>
            <w:tcBorders>
              <w:start w:sz="6.400000095367432" w:val="single" w:color="#8C9EAD"/>
              <w:top w:sz="6.400000095367432" w:val="single" w:color="#8C9EAD"/>
              <w:end w:sz="16.0" w:val="single" w:color="#26597A"/>
              <w:bottom w:sz="6.400000095367432" w:val="single" w:color="#8C9EAD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8" w:lineRule="exact" w:before="228" w:after="0"/>
              <w:ind w:left="288" w:right="1872" w:firstLine="0"/>
              <w:jc w:val="center"/>
            </w:pPr>
            <w:r>
              <w:rPr>
                <w:rFonts w:ascii="Helvetica" w:hAnsi="Helvetica" w:eastAsia="Helvetica"/>
                <w:b w:val="0"/>
                <w:i w:val="0"/>
                <w:color w:val="1F2E40"/>
                <w:sz w:val="18"/>
              </w:rPr>
              <w:t xml:space="preserve">Ready </w:t>
            </w:r>
            <w:r>
              <w:br/>
            </w:r>
            <w:r>
              <w:rPr>
                <w:rFonts w:ascii="Helvetica" w:hAnsi="Helvetica" w:eastAsia="Helvetica"/>
                <w:b w:val="0"/>
                <w:i w:val="0"/>
                <w:color w:val="1F2E40"/>
                <w:sz w:val="18"/>
              </w:rPr>
              <w:t>Review</w:t>
            </w:r>
          </w:p>
        </w:tc>
      </w:tr>
      <w:tr>
        <w:trPr>
          <w:trHeight w:hRule="exact" w:val="780"/>
        </w:trPr>
        <w:tc>
          <w:tcPr>
            <w:tcW w:type="dxa" w:w="3920"/>
            <w:tcBorders>
              <w:start w:sz="16.0" w:val="single" w:color="#26597A"/>
              <w:top w:sz="6.400000095367432" w:val="single" w:color="#8C9EAD"/>
              <w:end w:sz="6.400000095367432" w:val="single" w:color="#8C9EAD"/>
              <w:bottom w:sz="16.0" w:val="single" w:color="#26597A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3200"/>
            <w:tcBorders>
              <w:start w:sz="6.400000095367432" w:val="single" w:color="#8C9EAD"/>
              <w:top w:sz="6.400000095367432" w:val="single" w:color="#8C9EAD"/>
              <w:end w:sz="6.400000095367432" w:val="single" w:color="#8C9EAD"/>
              <w:bottom w:sz="16.0" w:val="single" w:color="#26597A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960"/>
            <w:tcBorders>
              <w:start w:sz="6.400000095367432" w:val="single" w:color="#8C9EAD"/>
              <w:top w:sz="6.400000095367432" w:val="single" w:color="#8C9EAD"/>
              <w:end w:sz="16.0" w:val="single" w:color="#26597A"/>
              <w:bottom w:sz="16.0" w:val="single" w:color="#26597A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sectPr w:rsidR="00FC693F" w:rsidRPr="0006063C" w:rsidSect="00034616">
      <w:pgSz w:w="12240" w:h="15840"/>
      <w:pgMar w:top="464" w:right="1040" w:bottom="1440" w:left="106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